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15DCD46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F"/>
            <w:tcMar>
              <w:top w:w="360" w:type="dxa"/>
              <w:left w:w="600" w:type="dxa"/>
              <w:bottom w:w="360" w:type="dxa"/>
              <w:right w:w="600" w:type="dxa"/>
            </w:tcMar>
          </w:tcPr>
          <w:p w14:paraId="753A435F" w14:textId="77777777" w:rsidR="000F59F0" w:rsidRDefault="00000000">
            <w:pPr>
              <w:jc w:val="center"/>
            </w:pPr>
            <w:r>
              <w:rPr>
                <w:caps/>
                <w:color w:val="AABCF0"/>
                <w:spacing w:val="80"/>
              </w:rPr>
              <w:t>RESUMEN EJECUTIVO</w:t>
            </w:r>
          </w:p>
          <w:p w14:paraId="5737821B" w14:textId="77777777" w:rsidR="000F59F0" w:rsidRDefault="00000000">
            <w:pPr>
              <w:spacing w:before="120"/>
              <w:jc w:val="center"/>
            </w:pPr>
            <w:r>
              <w:rPr>
                <w:b/>
                <w:bCs/>
                <w:color w:val="FFFFFF"/>
                <w:sz w:val="34"/>
                <w:szCs w:val="34"/>
              </w:rPr>
              <w:t>¿Monitoreamos para aprender o para reportar?</w:t>
            </w:r>
          </w:p>
          <w:p w14:paraId="0787238C" w14:textId="77777777" w:rsidR="000F59F0" w:rsidRDefault="00000000">
            <w:pPr>
              <w:spacing w:before="80"/>
              <w:jc w:val="center"/>
            </w:pPr>
            <w:r>
              <w:rPr>
                <w:i/>
                <w:iCs/>
                <w:color w:val="AABCF0"/>
                <w:sz w:val="22"/>
                <w:szCs w:val="22"/>
              </w:rPr>
              <w:t xml:space="preserve">Repensando los sistemas MEL de </w:t>
            </w:r>
            <w:proofErr w:type="spellStart"/>
            <w:r>
              <w:rPr>
                <w:i/>
                <w:iCs/>
                <w:color w:val="AABCF0"/>
                <w:sz w:val="22"/>
                <w:szCs w:val="22"/>
              </w:rPr>
              <w:t>NDCs</w:t>
            </w:r>
            <w:proofErr w:type="spellEnd"/>
            <w:r>
              <w:rPr>
                <w:i/>
                <w:iCs/>
                <w:color w:val="AABCF0"/>
                <w:sz w:val="22"/>
                <w:szCs w:val="22"/>
              </w:rPr>
              <w:t xml:space="preserve"> en América Latina y el Caribe</w:t>
            </w:r>
          </w:p>
          <w:p w14:paraId="666B6E40" w14:textId="77777777" w:rsidR="000F59F0" w:rsidRDefault="00000000">
            <w:pPr>
              <w:spacing w:before="200"/>
              <w:jc w:val="center"/>
            </w:pPr>
            <w:r>
              <w:rPr>
                <w:color w:val="FFFFFF"/>
                <w:sz w:val="18"/>
                <w:szCs w:val="18"/>
              </w:rPr>
              <w:t>Mesa Redonda Virtual  ·  Semana de la Evaluación Glocal 2026</w:t>
            </w:r>
          </w:p>
          <w:p w14:paraId="42717686" w14:textId="77777777" w:rsidR="000F59F0" w:rsidRDefault="00000000">
            <w:pPr>
              <w:spacing w:before="40"/>
              <w:jc w:val="center"/>
            </w:pPr>
            <w:r>
              <w:rPr>
                <w:color w:val="CCCCDD"/>
                <w:sz w:val="17"/>
                <w:szCs w:val="17"/>
              </w:rPr>
              <w:t xml:space="preserve">4 de junio, 2026  ·  </w:t>
            </w:r>
            <w:proofErr w:type="spellStart"/>
            <w:r>
              <w:rPr>
                <w:color w:val="CCCCDD"/>
                <w:sz w:val="17"/>
                <w:szCs w:val="17"/>
              </w:rPr>
              <w:t>RedLatamPP</w:t>
            </w:r>
            <w:proofErr w:type="spellEnd"/>
            <w:r>
              <w:rPr>
                <w:color w:val="CCCCDD"/>
                <w:sz w:val="17"/>
                <w:szCs w:val="17"/>
              </w:rPr>
              <w:t xml:space="preserve">  ·  República Dominicana</w:t>
            </w:r>
          </w:p>
        </w:tc>
      </w:tr>
    </w:tbl>
    <w:p w14:paraId="53CCAE68" w14:textId="77777777" w:rsidR="000F59F0" w:rsidRDefault="000F59F0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0F59F0" w14:paraId="43D7F11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297C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E4BC0D1" w14:textId="77777777" w:rsidR="000F59F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3</w:t>
            </w:r>
          </w:p>
          <w:p w14:paraId="6B31077C" w14:textId="77777777" w:rsidR="000F59F0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Panelistas expertos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ACC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52F92019" w14:textId="77777777" w:rsidR="000F59F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5</w:t>
            </w:r>
          </w:p>
          <w:p w14:paraId="3A514942" w14:textId="77777777" w:rsidR="000F59F0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Países participantes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F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5B742B36" w14:textId="77777777" w:rsidR="000F59F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60</w:t>
            </w:r>
          </w:p>
          <w:p w14:paraId="12AAA657" w14:textId="77777777" w:rsidR="000F59F0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Minutos de diálogo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297C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37BC046A" w14:textId="77777777" w:rsidR="000F59F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5</w:t>
            </w:r>
          </w:p>
          <w:p w14:paraId="430221D0" w14:textId="77777777" w:rsidR="000F59F0" w:rsidRDefault="00000000">
            <w:pPr>
              <w:spacing w:before="40"/>
              <w:jc w:val="center"/>
            </w:pPr>
            <w:r>
              <w:rPr>
                <w:color w:val="FFFFFF"/>
                <w:sz w:val="17"/>
                <w:szCs w:val="17"/>
              </w:rPr>
              <w:t>Preguntas de audiencia</w:t>
            </w:r>
          </w:p>
        </w:tc>
      </w:tr>
    </w:tbl>
    <w:p w14:paraId="4E48F8F7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404E60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F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6083EE00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t>01  CONTEXTO Y OBJETIVOS DE LA SESIÓN</w:t>
            </w:r>
          </w:p>
        </w:tc>
      </w:tr>
    </w:tbl>
    <w:p w14:paraId="19E35F8D" w14:textId="77777777" w:rsidR="000F59F0" w:rsidRDefault="000F59F0">
      <w:pPr>
        <w:spacing w:after="100"/>
      </w:pPr>
    </w:p>
    <w:p w14:paraId="42D572F9" w14:textId="77777777" w:rsidR="000F59F0" w:rsidRDefault="00000000" w:rsidP="00355F54">
      <w:pPr>
        <w:spacing w:before="60" w:after="80"/>
        <w:jc w:val="both"/>
      </w:pPr>
      <w:r>
        <w:t>Esta mesa redonda virtual fue organizada por la Red Latinoamericana para la Investigación y el Desarrollo de Políticas Públicas (</w:t>
      </w:r>
      <w:proofErr w:type="spellStart"/>
      <w:r>
        <w:t>RedLatamPP</w:t>
      </w:r>
      <w:proofErr w:type="spellEnd"/>
      <w:r>
        <w:t xml:space="preserve">), en el marco de la Semana de la Evaluación Glocal 2026. La sesión convocó a profesionales con experiencia directa en la implementación de marcos MEL para </w:t>
      </w:r>
      <w:proofErr w:type="spellStart"/>
      <w:r>
        <w:t>NDCs</w:t>
      </w:r>
      <w:proofErr w:type="spellEnd"/>
      <w:r>
        <w:t xml:space="preserve"> y programas de acción climática en la República Dominicana y el Caribe, para dialogar sobre una pregunta estratégica: ¿están los sistemas de monitoreo climático diseñados para aprender o simplemente para cumplir requisitos de reporte?</w:t>
      </w:r>
    </w:p>
    <w:p w14:paraId="11A890A1" w14:textId="77777777" w:rsidR="000F59F0" w:rsidRDefault="000F59F0" w:rsidP="00355F54">
      <w:pPr>
        <w:spacing w:after="60"/>
        <w:jc w:val="both"/>
      </w:pPr>
    </w:p>
    <w:p w14:paraId="0AC11F9F" w14:textId="77777777" w:rsidR="000F59F0" w:rsidRDefault="00000000" w:rsidP="00355F54">
      <w:pPr>
        <w:spacing w:before="60" w:after="80"/>
        <w:jc w:val="both"/>
      </w:pPr>
      <w:r>
        <w:t>La discusión parte de una tensión real en la región: los países han avanzado significativamente en sus capacidades de reporte climático —con instrumentos como el BTR y las comunicaciones nacionales—, pero los datos generados rara vez retroalimentan la toma de decisiones a nivel nacional y local. En un contexto donde los compromisos NDC se actualizan periódicamente y deben reflejar aprendizaje acumulado, esta brecha tiene consecuencias directas sobre la calidad de la acción climática.</w:t>
      </w:r>
    </w:p>
    <w:p w14:paraId="2DE6D3E8" w14:textId="77777777" w:rsidR="000F59F0" w:rsidRDefault="000F59F0">
      <w:pPr>
        <w:spacing w:after="80"/>
      </w:pPr>
    </w:p>
    <w:p w14:paraId="0B5C2727" w14:textId="77777777" w:rsidR="000F59F0" w:rsidRDefault="00000000">
      <w:pPr>
        <w:spacing w:before="60" w:after="80"/>
      </w:pPr>
      <w:r>
        <w:rPr>
          <w:b/>
          <w:bCs/>
        </w:rPr>
        <w:t>Los objetivos de la sesión fueron:</w:t>
      </w:r>
    </w:p>
    <w:p w14:paraId="6956BBA9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Diagnosticar el balance actual entre la función de reporte y la función de aprendizaje en los sistemas MEL de </w:t>
      </w:r>
      <w:proofErr w:type="spellStart"/>
      <w:r>
        <w:t>NDCs</w:t>
      </w:r>
      <w:proofErr w:type="spellEnd"/>
      <w:r>
        <w:t xml:space="preserve"> en la región.</w:t>
      </w:r>
    </w:p>
    <w:p w14:paraId="3F6A40F3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Identificar los principales obstáculos institucionales, técnicos y culturales que impiden cerrar esa brecha.</w:t>
      </w:r>
    </w:p>
    <w:p w14:paraId="6A4A7C19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Compartir prácticas y estrategias concretas que han demostrado funcionar en contextos similares.</w:t>
      </w:r>
    </w:p>
    <w:p w14:paraId="4687B268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Abrir un espacio de diálogo con la audiencia para construir compromisos colectivos de mejora.</w:t>
      </w:r>
    </w:p>
    <w:p w14:paraId="5ED42C20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7FD838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297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0CADBA7E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t>02  PANEL DE EXPERTAS Y EXPERTOS</w:t>
            </w:r>
          </w:p>
        </w:tc>
      </w:tr>
    </w:tbl>
    <w:p w14:paraId="250455CA" w14:textId="77777777" w:rsidR="000F59F0" w:rsidRDefault="000F59F0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F59F0" w14:paraId="42230E0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25BFEB9" w14:textId="77777777" w:rsidR="000F59F0" w:rsidRPr="00355F54" w:rsidRDefault="00000000">
            <w:pPr>
              <w:spacing w:after="40"/>
              <w:rPr>
                <w:lang w:val="pt-BR"/>
              </w:rPr>
            </w:pPr>
            <w:r w:rsidRPr="00355F54">
              <w:rPr>
                <w:color w:val="1A2B5F"/>
                <w:sz w:val="14"/>
                <w:szCs w:val="14"/>
                <w:lang w:val="pt-BR"/>
              </w:rPr>
              <w:t>●</w:t>
            </w:r>
          </w:p>
          <w:p w14:paraId="0E47DEF8" w14:textId="224844FA" w:rsidR="000F59F0" w:rsidRPr="00355F54" w:rsidRDefault="00000000">
            <w:pPr>
              <w:spacing w:after="40"/>
              <w:rPr>
                <w:lang w:val="pt-BR"/>
              </w:rPr>
            </w:pPr>
            <w:r w:rsidRPr="00355F54">
              <w:rPr>
                <w:b/>
                <w:bCs/>
                <w:color w:val="1A2B5F"/>
                <w:sz w:val="19"/>
                <w:szCs w:val="19"/>
                <w:lang w:val="pt-BR"/>
              </w:rPr>
              <w:t xml:space="preserve">Pedro </w:t>
            </w:r>
            <w:proofErr w:type="spellStart"/>
            <w:r w:rsidR="00355F54">
              <w:rPr>
                <w:b/>
                <w:bCs/>
                <w:color w:val="1A2B5F"/>
                <w:sz w:val="19"/>
                <w:szCs w:val="19"/>
                <w:lang w:val="pt-BR"/>
              </w:rPr>
              <w:t>Coss</w:t>
            </w:r>
            <w:proofErr w:type="spellEnd"/>
          </w:p>
          <w:p w14:paraId="764188D0" w14:textId="77777777" w:rsidR="000F59F0" w:rsidRPr="00355F54" w:rsidRDefault="00000000">
            <w:pPr>
              <w:spacing w:after="40"/>
              <w:rPr>
                <w:lang w:val="pt-BR"/>
              </w:rPr>
            </w:pPr>
            <w:r w:rsidRPr="00355F54">
              <w:rPr>
                <w:color w:val="1A2B5F"/>
                <w:sz w:val="17"/>
                <w:szCs w:val="17"/>
                <w:lang w:val="pt-BR"/>
              </w:rPr>
              <w:t xml:space="preserve">Facilitador País NDC </w:t>
            </w:r>
            <w:proofErr w:type="spellStart"/>
            <w:r w:rsidRPr="00355F54">
              <w:rPr>
                <w:color w:val="1A2B5F"/>
                <w:sz w:val="17"/>
                <w:szCs w:val="17"/>
                <w:lang w:val="pt-BR"/>
              </w:rPr>
              <w:t>Partnership</w:t>
            </w:r>
            <w:proofErr w:type="spellEnd"/>
          </w:p>
          <w:p w14:paraId="4B2A80A8" w14:textId="77777777" w:rsidR="000F59F0" w:rsidRPr="00355F54" w:rsidRDefault="00000000">
            <w:pPr>
              <w:rPr>
                <w:lang w:val="pt-BR"/>
              </w:rPr>
            </w:pPr>
            <w:r w:rsidRPr="00355F54">
              <w:rPr>
                <w:color w:val="555555"/>
                <w:sz w:val="17"/>
                <w:szCs w:val="17"/>
                <w:lang w:val="pt-BR"/>
              </w:rPr>
              <w:t>República Dominicana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89698DB" w14:textId="77777777" w:rsidR="000F59F0" w:rsidRDefault="00000000">
            <w:pPr>
              <w:spacing w:after="40"/>
            </w:pPr>
            <w:r>
              <w:rPr>
                <w:color w:val="00AACC"/>
                <w:sz w:val="14"/>
                <w:szCs w:val="14"/>
              </w:rPr>
              <w:t>●</w:t>
            </w:r>
          </w:p>
          <w:p w14:paraId="0472CBA6" w14:textId="3DDF8145" w:rsidR="000F59F0" w:rsidRDefault="00000000">
            <w:pPr>
              <w:spacing w:after="40"/>
            </w:pPr>
            <w:r>
              <w:rPr>
                <w:b/>
                <w:bCs/>
                <w:color w:val="1A2B5F"/>
                <w:sz w:val="19"/>
                <w:szCs w:val="19"/>
              </w:rPr>
              <w:t>Mari</w:t>
            </w:r>
            <w:r w:rsidR="00355F54">
              <w:rPr>
                <w:b/>
                <w:bCs/>
                <w:color w:val="1A2B5F"/>
                <w:sz w:val="19"/>
                <w:szCs w:val="19"/>
              </w:rPr>
              <w:t>anne</w:t>
            </w:r>
            <w:r>
              <w:rPr>
                <w:b/>
                <w:bCs/>
                <w:color w:val="1A2B5F"/>
                <w:sz w:val="19"/>
                <w:szCs w:val="19"/>
              </w:rPr>
              <w:t xml:space="preserve"> L</w:t>
            </w:r>
            <w:r w:rsidR="00355F54">
              <w:rPr>
                <w:b/>
                <w:bCs/>
                <w:color w:val="1A2B5F"/>
                <w:sz w:val="19"/>
                <w:szCs w:val="19"/>
              </w:rPr>
              <w:t>i</w:t>
            </w:r>
            <w:r>
              <w:rPr>
                <w:b/>
                <w:bCs/>
                <w:color w:val="1A2B5F"/>
                <w:sz w:val="19"/>
                <w:szCs w:val="19"/>
              </w:rPr>
              <w:t xml:space="preserve"> Herrera</w:t>
            </w:r>
          </w:p>
          <w:p w14:paraId="42FB5AB9" w14:textId="77777777" w:rsidR="000F59F0" w:rsidRDefault="00000000">
            <w:pPr>
              <w:spacing w:after="40"/>
            </w:pPr>
            <w:r>
              <w:rPr>
                <w:color w:val="00AACC"/>
                <w:sz w:val="17"/>
                <w:szCs w:val="17"/>
              </w:rPr>
              <w:t>Asociada de Proyectos</w:t>
            </w:r>
          </w:p>
          <w:p w14:paraId="3FD4469F" w14:textId="77777777" w:rsidR="000F59F0" w:rsidRPr="00355F54" w:rsidRDefault="00000000">
            <w:pPr>
              <w:rPr>
                <w:lang w:val="en-US"/>
              </w:rPr>
            </w:pPr>
            <w:r w:rsidRPr="00355F54">
              <w:rPr>
                <w:color w:val="555555"/>
                <w:sz w:val="17"/>
                <w:szCs w:val="17"/>
                <w:lang w:val="en-US"/>
              </w:rPr>
              <w:t>Global Green Growth Institute (GGGI)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DA60C51" w14:textId="77777777" w:rsidR="000F59F0" w:rsidRDefault="00000000">
            <w:pPr>
              <w:spacing w:after="40"/>
            </w:pPr>
            <w:r>
              <w:rPr>
                <w:color w:val="C8297C"/>
                <w:sz w:val="14"/>
                <w:szCs w:val="14"/>
              </w:rPr>
              <w:t>●</w:t>
            </w:r>
          </w:p>
          <w:p w14:paraId="76334EFF" w14:textId="77777777" w:rsidR="000F59F0" w:rsidRDefault="00000000">
            <w:pPr>
              <w:spacing w:after="40"/>
            </w:pPr>
            <w:r>
              <w:rPr>
                <w:b/>
                <w:bCs/>
                <w:color w:val="1A2B5F"/>
                <w:sz w:val="19"/>
                <w:szCs w:val="19"/>
              </w:rPr>
              <w:t>Jennifer Marmolejos</w:t>
            </w:r>
          </w:p>
          <w:p w14:paraId="296A8918" w14:textId="77777777" w:rsidR="000F59F0" w:rsidRDefault="00000000">
            <w:pPr>
              <w:spacing w:after="40"/>
            </w:pPr>
            <w:r>
              <w:rPr>
                <w:color w:val="C8297C"/>
                <w:sz w:val="17"/>
                <w:szCs w:val="17"/>
              </w:rPr>
              <w:t>Ejecutiva Principal</w:t>
            </w:r>
          </w:p>
          <w:p w14:paraId="771A2C51" w14:textId="77777777" w:rsidR="000F59F0" w:rsidRDefault="00000000">
            <w:r>
              <w:rPr>
                <w:color w:val="555555"/>
                <w:sz w:val="17"/>
                <w:szCs w:val="17"/>
              </w:rPr>
              <w:t>CAF – Banco de Desarrollo de ALC</w:t>
            </w:r>
          </w:p>
        </w:tc>
      </w:tr>
    </w:tbl>
    <w:p w14:paraId="55DDB38D" w14:textId="77777777" w:rsidR="000F59F0" w:rsidRDefault="000F59F0">
      <w:pPr>
        <w:spacing w:after="80"/>
      </w:pPr>
    </w:p>
    <w:p w14:paraId="353E0AFB" w14:textId="77777777" w:rsidR="000F59F0" w:rsidRDefault="00000000">
      <w:pPr>
        <w:spacing w:before="60" w:after="80"/>
      </w:pPr>
      <w:r>
        <w:rPr>
          <w:i/>
          <w:iCs/>
          <w:color w:val="666666"/>
        </w:rPr>
        <w:t xml:space="preserve">Moderadora: Juliany Minyety Méndez — Especialista MEL · Directora Capítulo RD, </w:t>
      </w:r>
      <w:proofErr w:type="spellStart"/>
      <w:r>
        <w:rPr>
          <w:i/>
          <w:iCs/>
          <w:color w:val="666666"/>
        </w:rPr>
        <w:t>RedLatamPP</w:t>
      </w:r>
      <w:proofErr w:type="spellEnd"/>
    </w:p>
    <w:p w14:paraId="28380219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4DA90E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AC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07B5346E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t>03  PREGUNTA 1  ·  DIAGNÓSTICO: ¿Cuál es el balance actual?</w:t>
            </w:r>
          </w:p>
        </w:tc>
      </w:tr>
    </w:tbl>
    <w:p w14:paraId="698C8AAB" w14:textId="77777777" w:rsidR="000F59F0" w:rsidRDefault="000F59F0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49838E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AACC"/>
              <w:left w:val="single" w:sz="14" w:space="0" w:color="00AACC"/>
              <w:bottom w:val="single" w:sz="1" w:space="0" w:color="00AACC"/>
              <w:right w:val="single" w:sz="1" w:space="0" w:color="00AACC"/>
            </w:tcBorders>
            <w:shd w:val="clear" w:color="auto" w:fill="E6F6FA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4FB0B7AF" w14:textId="77777777" w:rsidR="000F59F0" w:rsidRDefault="00000000">
            <w:r>
              <w:rPr>
                <w:i/>
                <w:iCs/>
                <w:color w:val="1A2B5F"/>
              </w:rPr>
              <w:t xml:space="preserve">Desde su experiencia, ¿cómo describiría el balance entre la función de reporte y la función de aprendizaje en los sistemas MEL de </w:t>
            </w:r>
            <w:proofErr w:type="spellStart"/>
            <w:r>
              <w:rPr>
                <w:i/>
                <w:iCs/>
                <w:color w:val="1A2B5F"/>
              </w:rPr>
              <w:t>NDCs</w:t>
            </w:r>
            <w:proofErr w:type="spellEnd"/>
            <w:r>
              <w:rPr>
                <w:i/>
                <w:iCs/>
                <w:color w:val="1A2B5F"/>
              </w:rPr>
              <w:t>?</w:t>
            </w:r>
          </w:p>
        </w:tc>
      </w:tr>
    </w:tbl>
    <w:p w14:paraId="56F2AA91" w14:textId="77777777" w:rsidR="000F59F0" w:rsidRDefault="000F59F0">
      <w:pPr>
        <w:spacing w:after="100"/>
      </w:pPr>
    </w:p>
    <w:p w14:paraId="3686626E" w14:textId="77777777" w:rsidR="000F59F0" w:rsidRDefault="00000000">
      <w:pPr>
        <w:spacing w:before="60" w:after="80"/>
      </w:pPr>
      <w:r>
        <w:rPr>
          <w:b/>
          <w:bCs/>
          <w:color w:val="00AACC"/>
        </w:rPr>
        <w:t>Hallazgos clave</w:t>
      </w:r>
    </w:p>
    <w:p w14:paraId="5C7AE310" w14:textId="1836F82B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 región ha invertido significativamente en capacidades de reporte y transparencia climática (</w:t>
      </w:r>
      <w:r w:rsidR="00A70672">
        <w:t xml:space="preserve">Reportes Bienales de Transparencia - </w:t>
      </w:r>
      <w:proofErr w:type="spellStart"/>
      <w:r>
        <w:t>BTRs</w:t>
      </w:r>
      <w:proofErr w:type="spellEnd"/>
      <w:r>
        <w:t>, inventarios de GEI, plataformas de datos), pero el aprendizaje no despega al mismo ritmo.</w:t>
      </w:r>
    </w:p>
    <w:p w14:paraId="7165B321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Los instrumentos de reporte producen información técnicamente válida que raramente se convierte en insumo para la toma de decisiones de política pública o la mejora de las </w:t>
      </w:r>
      <w:proofErr w:type="spellStart"/>
      <w:r>
        <w:t>NDCs</w:t>
      </w:r>
      <w:proofErr w:type="spellEnd"/>
      <w:r>
        <w:t>.</w:t>
      </w:r>
    </w:p>
    <w:p w14:paraId="6595DC6B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 República Dominicana fue destacada como referente regional: es uno de los primeros países de la región en incluir formalmente el ciclo de aprendizaje dentro de su sistema de monitoreo de transparencia climática (MRV).</w:t>
      </w:r>
    </w:p>
    <w:p w14:paraId="4135D035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La principal limitante para </w:t>
      </w:r>
      <w:proofErr w:type="spellStart"/>
      <w:r>
        <w:t>transicionar</w:t>
      </w:r>
      <w:proofErr w:type="spellEnd"/>
      <w:r>
        <w:t xml:space="preserve"> al aprendizaje sigue siendo la calidad y consistencia de los datos: sin series históricas, sin línea base robusta, el potencial de los sistemas MEL es estructuralmente limitado.</w:t>
      </w:r>
    </w:p>
    <w:p w14:paraId="48816B34" w14:textId="77777777" w:rsidR="000F59F0" w:rsidRDefault="000F59F0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49BE1E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2B5F"/>
              <w:left w:val="single" w:sz="14" w:space="0" w:color="1A2B5F"/>
              <w:bottom w:val="single" w:sz="1" w:space="0" w:color="1A2B5F"/>
              <w:right w:val="single" w:sz="1" w:space="0" w:color="1A2B5F"/>
            </w:tcBorders>
            <w:shd w:val="clear" w:color="auto" w:fill="E8EBF5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27FA7D96" w14:textId="77777777" w:rsidR="000F59F0" w:rsidRDefault="00000000">
            <w:pPr>
              <w:spacing w:after="60"/>
            </w:pPr>
            <w:r>
              <w:rPr>
                <w:i/>
                <w:iCs/>
              </w:rPr>
              <w:t>«Tenemos muchos instrumentos que levantan información y que sirven para reportarla, pero todavía falta profundizar en la conexión del uso de esa información para construir políticas públicas o mejorar los instrumentos de planificación.»</w:t>
            </w:r>
          </w:p>
          <w:p w14:paraId="4FB0B936" w14:textId="444029BC" w:rsidR="000F59F0" w:rsidRDefault="00000000">
            <w:r>
              <w:rPr>
                <w:b/>
                <w:bCs/>
                <w:color w:val="1A2B5F"/>
                <w:sz w:val="18"/>
                <w:szCs w:val="18"/>
              </w:rPr>
              <w:t>— Pedro C</w:t>
            </w:r>
            <w:r w:rsidR="00355F54">
              <w:rPr>
                <w:b/>
                <w:bCs/>
                <w:color w:val="1A2B5F"/>
                <w:sz w:val="18"/>
                <w:szCs w:val="18"/>
              </w:rPr>
              <w:t>oss</w:t>
            </w:r>
          </w:p>
        </w:tc>
      </w:tr>
    </w:tbl>
    <w:p w14:paraId="1DAB35A1" w14:textId="77777777" w:rsidR="000F59F0" w:rsidRDefault="000F59F0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25D348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AACC"/>
              <w:left w:val="single" w:sz="14" w:space="0" w:color="00AACC"/>
              <w:bottom w:val="single" w:sz="1" w:space="0" w:color="00AACC"/>
              <w:right w:val="single" w:sz="1" w:space="0" w:color="00AACC"/>
            </w:tcBorders>
            <w:shd w:val="clear" w:color="auto" w:fill="E6F6FA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4C351B1C" w14:textId="77777777" w:rsidR="000F59F0" w:rsidRDefault="00000000">
            <w:pPr>
              <w:spacing w:after="60"/>
            </w:pPr>
            <w:r>
              <w:rPr>
                <w:i/>
                <w:iCs/>
              </w:rPr>
              <w:t>«El aprendizaje todavía no está despegando al mismo ritmo que la reportería. Los sistemas funcionan muy bien para reportar avances, pero todavía existe dificultad para generar procesos de reflexión y ajuste de políticas públicas.»</w:t>
            </w:r>
          </w:p>
          <w:p w14:paraId="2C5DCECD" w14:textId="0292168F" w:rsidR="000F59F0" w:rsidRDefault="00000000">
            <w:r>
              <w:rPr>
                <w:b/>
                <w:bCs/>
                <w:color w:val="00AACC"/>
                <w:sz w:val="18"/>
                <w:szCs w:val="18"/>
              </w:rPr>
              <w:t>— Mari</w:t>
            </w:r>
            <w:r w:rsidR="00355F54">
              <w:rPr>
                <w:b/>
                <w:bCs/>
                <w:color w:val="00AACC"/>
                <w:sz w:val="18"/>
                <w:szCs w:val="18"/>
              </w:rPr>
              <w:t>anne</w:t>
            </w:r>
            <w:r>
              <w:rPr>
                <w:b/>
                <w:bCs/>
                <w:color w:val="00AACC"/>
                <w:sz w:val="18"/>
                <w:szCs w:val="18"/>
              </w:rPr>
              <w:t xml:space="preserve"> L</w:t>
            </w:r>
            <w:r w:rsidR="00355F54">
              <w:rPr>
                <w:b/>
                <w:bCs/>
                <w:color w:val="00AACC"/>
                <w:sz w:val="18"/>
                <w:szCs w:val="18"/>
              </w:rPr>
              <w:t>i</w:t>
            </w:r>
            <w:r>
              <w:rPr>
                <w:b/>
                <w:bCs/>
                <w:color w:val="00AACC"/>
                <w:sz w:val="18"/>
                <w:szCs w:val="18"/>
              </w:rPr>
              <w:t xml:space="preserve"> Herrera</w:t>
            </w:r>
          </w:p>
        </w:tc>
      </w:tr>
    </w:tbl>
    <w:p w14:paraId="359E4D0D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0D8930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297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14FEC99C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t xml:space="preserve">04  PREGUNTA 2  ·  OBSTÁCULOS E IMPACTO EN LAS </w:t>
            </w:r>
            <w:proofErr w:type="spellStart"/>
            <w:r>
              <w:rPr>
                <w:b/>
                <w:bCs/>
                <w:color w:val="FFFFFF"/>
                <w:sz w:val="25"/>
                <w:szCs w:val="25"/>
              </w:rPr>
              <w:t>NDCs</w:t>
            </w:r>
            <w:proofErr w:type="spellEnd"/>
          </w:p>
        </w:tc>
      </w:tr>
    </w:tbl>
    <w:p w14:paraId="63035108" w14:textId="77777777" w:rsidR="000F59F0" w:rsidRDefault="000F59F0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25BDF7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8297C"/>
              <w:left w:val="single" w:sz="14" w:space="0" w:color="C8297C"/>
              <w:bottom w:val="single" w:sz="1" w:space="0" w:color="C8297C"/>
              <w:right w:val="single" w:sz="1" w:space="0" w:color="C8297C"/>
            </w:tcBorders>
            <w:shd w:val="clear" w:color="auto" w:fill="FAE8F3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1148825D" w14:textId="77777777" w:rsidR="000F59F0" w:rsidRDefault="00000000">
            <w:r>
              <w:rPr>
                <w:i/>
                <w:iCs/>
                <w:color w:val="1A2B5F"/>
              </w:rPr>
              <w:t xml:space="preserve">¿Cuál ha sido el obstáculo más difícil de superar? ¿En qué áreas de las </w:t>
            </w:r>
            <w:proofErr w:type="spellStart"/>
            <w:r>
              <w:rPr>
                <w:i/>
                <w:iCs/>
                <w:color w:val="1A2B5F"/>
              </w:rPr>
              <w:t>NDCs</w:t>
            </w:r>
            <w:proofErr w:type="spellEnd"/>
            <w:r>
              <w:rPr>
                <w:i/>
                <w:iCs/>
                <w:color w:val="1A2B5F"/>
              </w:rPr>
              <w:t xml:space="preserve"> tiene mayor impacto esta debilidad?</w:t>
            </w:r>
          </w:p>
        </w:tc>
      </w:tr>
    </w:tbl>
    <w:p w14:paraId="03C0B845" w14:textId="77777777" w:rsidR="000F59F0" w:rsidRDefault="000F59F0">
      <w:pPr>
        <w:spacing w:after="100"/>
      </w:pPr>
    </w:p>
    <w:p w14:paraId="1369DBA7" w14:textId="77777777" w:rsidR="000F59F0" w:rsidRDefault="00000000">
      <w:pPr>
        <w:spacing w:before="60" w:after="80"/>
      </w:pPr>
      <w:r>
        <w:rPr>
          <w:b/>
          <w:bCs/>
          <w:color w:val="C8297C"/>
        </w:rPr>
        <w:t>Los cinco obstáculos identificados por el panel</w:t>
      </w:r>
    </w:p>
    <w:p w14:paraId="5F1C4C10" w14:textId="77777777" w:rsidR="000F59F0" w:rsidRDefault="000F59F0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F59F0" w14:paraId="1DF7A4FF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B9EFD11" w14:textId="77777777" w:rsidR="000F59F0" w:rsidRDefault="00000000">
            <w:pPr>
              <w:spacing w:after="60"/>
            </w:pPr>
            <w:r>
              <w:rPr>
                <w:b/>
                <w:bCs/>
                <w:color w:val="1A2B5F"/>
                <w:sz w:val="19"/>
                <w:szCs w:val="19"/>
              </w:rPr>
              <w:t>1. Falta de interoperabilidad</w:t>
            </w:r>
          </w:p>
          <w:p w14:paraId="7D5F6DA8" w14:textId="77777777" w:rsidR="000F59F0" w:rsidRDefault="00000000">
            <w:pPr>
              <w:spacing w:after="100"/>
            </w:pPr>
            <w:r>
              <w:rPr>
                <w:sz w:val="18"/>
                <w:szCs w:val="18"/>
              </w:rPr>
              <w:t xml:space="preserve">Las plataformas existen y producen datos de calidad, pero no se comunican entre sí ni con los sistemas de </w:t>
            </w:r>
            <w:r>
              <w:rPr>
                <w:sz w:val="18"/>
                <w:szCs w:val="18"/>
              </w:rPr>
              <w:lastRenderedPageBreak/>
              <w:t>gestión financiera. El costo de esta desconexión es tiempo —y en acción climática, el tiempo tiene precio.</w:t>
            </w:r>
          </w:p>
          <w:p w14:paraId="50FEC93B" w14:textId="77777777" w:rsidR="000F59F0" w:rsidRDefault="00000000">
            <w:pPr>
              <w:spacing w:after="60"/>
            </w:pPr>
            <w:r>
              <w:rPr>
                <w:b/>
                <w:bCs/>
                <w:color w:val="1A2B5F"/>
                <w:sz w:val="19"/>
                <w:szCs w:val="19"/>
              </w:rPr>
              <w:t>2. Desconexión entre quienes producen el dato y quienes deciden</w:t>
            </w:r>
          </w:p>
          <w:p w14:paraId="597AB85F" w14:textId="77777777" w:rsidR="000F59F0" w:rsidRDefault="00000000">
            <w:pPr>
              <w:spacing w:after="100"/>
            </w:pPr>
            <w:r>
              <w:rPr>
                <w:sz w:val="18"/>
                <w:szCs w:val="18"/>
              </w:rPr>
              <w:t>Equipos técnicos producen indicadores sólidos que no llegan al nivel político donde se asigna el presupuesto y se definen prioridades. No existe el espacio institucional donde los datos se discutan y produzcan decisiones.</w:t>
            </w:r>
          </w:p>
          <w:p w14:paraId="53FFE97B" w14:textId="77777777" w:rsidR="000F59F0" w:rsidRDefault="00000000">
            <w:pPr>
              <w:spacing w:after="60"/>
            </w:pPr>
            <w:r>
              <w:rPr>
                <w:b/>
                <w:bCs/>
                <w:color w:val="1A2B5F"/>
                <w:sz w:val="19"/>
                <w:szCs w:val="19"/>
              </w:rPr>
              <w:t>3. Capacidad técnica desigual entre sectores</w:t>
            </w:r>
          </w:p>
          <w:p w14:paraId="1BACECC7" w14:textId="3371F27E" w:rsidR="000F59F0" w:rsidRDefault="00000000">
            <w:r>
              <w:rPr>
                <w:sz w:val="18"/>
                <w:szCs w:val="18"/>
              </w:rPr>
              <w:t>El sector energético</w:t>
            </w:r>
            <w:r w:rsidR="00355F54">
              <w:rPr>
                <w:sz w:val="18"/>
                <w:szCs w:val="18"/>
              </w:rPr>
              <w:t>, por ejemplo,</w:t>
            </w:r>
            <w:r>
              <w:rPr>
                <w:sz w:val="18"/>
                <w:szCs w:val="18"/>
              </w:rPr>
              <w:t xml:space="preserve"> cuenta con datos robustos y desagregados; el sector de agricultura, bosques y suelos presenta mayores carencias. En adaptación, el rezago frente a mitigación es sistémico.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40440A5" w14:textId="77777777" w:rsidR="000F59F0" w:rsidRDefault="00000000">
            <w:pPr>
              <w:spacing w:after="60"/>
            </w:pPr>
            <w:r>
              <w:rPr>
                <w:b/>
                <w:bCs/>
                <w:color w:val="1A2B5F"/>
                <w:sz w:val="19"/>
                <w:szCs w:val="19"/>
              </w:rPr>
              <w:lastRenderedPageBreak/>
              <w:t>4. Ausencia de una cultura de aprendizaje institucional</w:t>
            </w:r>
          </w:p>
          <w:p w14:paraId="4230D62E" w14:textId="77777777" w:rsidR="000F59F0" w:rsidRDefault="00000000">
            <w:pPr>
              <w:spacing w:after="100"/>
            </w:pPr>
            <w:r>
              <w:rPr>
                <w:sz w:val="18"/>
                <w:szCs w:val="18"/>
              </w:rPr>
              <w:t xml:space="preserve">El monitoreo se percibe como auditoría y fiscalización, no como herramienta de mejora. Hay resistencia al cuestionamiento de prácticas existentes. Pocos </w:t>
            </w:r>
            <w:r>
              <w:rPr>
                <w:sz w:val="18"/>
                <w:szCs w:val="18"/>
              </w:rPr>
              <w:lastRenderedPageBreak/>
              <w:t xml:space="preserve">procesos de </w:t>
            </w:r>
            <w:proofErr w:type="spellStart"/>
            <w:r>
              <w:rPr>
                <w:sz w:val="18"/>
                <w:szCs w:val="18"/>
              </w:rPr>
              <w:t>offboarding</w:t>
            </w:r>
            <w:proofErr w:type="spellEnd"/>
            <w:r>
              <w:rPr>
                <w:sz w:val="18"/>
                <w:szCs w:val="18"/>
              </w:rPr>
              <w:t>, sistematización o reflexión institucional después de cada ciclo.</w:t>
            </w:r>
          </w:p>
          <w:p w14:paraId="66956D30" w14:textId="77777777" w:rsidR="000F59F0" w:rsidRDefault="00000000">
            <w:pPr>
              <w:spacing w:after="60"/>
            </w:pPr>
            <w:r>
              <w:rPr>
                <w:b/>
                <w:bCs/>
                <w:color w:val="1A2B5F"/>
                <w:sz w:val="19"/>
                <w:szCs w:val="19"/>
              </w:rPr>
              <w:t>5. Incentivos alineados al reporte, no al aprendizaje</w:t>
            </w:r>
          </w:p>
          <w:p w14:paraId="0D8AB969" w14:textId="77777777" w:rsidR="000F59F0" w:rsidRDefault="00000000">
            <w:r>
              <w:rPr>
                <w:sz w:val="18"/>
                <w:szCs w:val="18"/>
              </w:rPr>
              <w:t>Los ciclos de reporte tienen fechas, consecuencias y auditorías. Los ciclos de aprendizaje no. Mientras los incentivos apunten solo al cumplimiento, el salto cualitativo es improbable.</w:t>
            </w:r>
          </w:p>
        </w:tc>
      </w:tr>
    </w:tbl>
    <w:p w14:paraId="408198CA" w14:textId="77777777" w:rsidR="000F59F0" w:rsidRDefault="000F59F0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2741E2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8297C"/>
              <w:left w:val="single" w:sz="14" w:space="0" w:color="C8297C"/>
              <w:bottom w:val="single" w:sz="1" w:space="0" w:color="C8297C"/>
              <w:right w:val="single" w:sz="1" w:space="0" w:color="C8297C"/>
            </w:tcBorders>
            <w:shd w:val="clear" w:color="auto" w:fill="FAE8F3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46CF422B" w14:textId="4E635DA6" w:rsidR="000F59F0" w:rsidRDefault="00000000">
            <w:pPr>
              <w:spacing w:after="60"/>
            </w:pPr>
            <w:r>
              <w:rPr>
                <w:i/>
                <w:iCs/>
              </w:rPr>
              <w:t xml:space="preserve">«La toma de decisiones pública no es un proceso </w:t>
            </w:r>
            <w:r w:rsidR="00355F54">
              <w:rPr>
                <w:i/>
                <w:iCs/>
              </w:rPr>
              <w:t xml:space="preserve">meramente </w:t>
            </w:r>
            <w:r>
              <w:rPr>
                <w:i/>
                <w:iCs/>
              </w:rPr>
              <w:t>técnico. Nosotros como técnicos tenemos la responsabilidad de tener la mayor calidad posible del dato, y más que la calidad del dato, saber hablar sobre ese dato.»</w:t>
            </w:r>
          </w:p>
          <w:p w14:paraId="182A3BB9" w14:textId="77777777" w:rsidR="000F59F0" w:rsidRDefault="00000000">
            <w:r>
              <w:rPr>
                <w:b/>
                <w:bCs/>
                <w:color w:val="C8297C"/>
                <w:sz w:val="18"/>
                <w:szCs w:val="18"/>
              </w:rPr>
              <w:t>— Jennifer Marmolejos</w:t>
            </w:r>
          </w:p>
        </w:tc>
      </w:tr>
    </w:tbl>
    <w:p w14:paraId="25956EBD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78DC201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F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70C60C8B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t>05  PREGUNTA 3  ·  ESTRATEGIAS: ¿Qué ha funcionado?</w:t>
            </w:r>
          </w:p>
        </w:tc>
      </w:tr>
    </w:tbl>
    <w:p w14:paraId="2FC6F17C" w14:textId="77777777" w:rsidR="000F59F0" w:rsidRDefault="000F59F0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522AC3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2B5F"/>
              <w:left w:val="single" w:sz="14" w:space="0" w:color="1A2B5F"/>
              <w:bottom w:val="single" w:sz="1" w:space="0" w:color="1A2B5F"/>
              <w:right w:val="single" w:sz="1" w:space="0" w:color="1A2B5F"/>
            </w:tcBorders>
            <w:shd w:val="clear" w:color="auto" w:fill="E8EBF5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7E2AFCA2" w14:textId="77777777" w:rsidR="000F59F0" w:rsidRDefault="00000000">
            <w:r>
              <w:rPr>
                <w:i/>
                <w:iCs/>
                <w:color w:val="1A2B5F"/>
              </w:rPr>
              <w:t>¿Qué práctica, herramienta o decisión de diseño ha logrado que el monitoreo sirva realmente para aprender?</w:t>
            </w:r>
          </w:p>
        </w:tc>
      </w:tr>
    </w:tbl>
    <w:p w14:paraId="4DA80C03" w14:textId="77777777" w:rsidR="000F59F0" w:rsidRDefault="000F59F0">
      <w:pPr>
        <w:spacing w:after="100"/>
      </w:pPr>
    </w:p>
    <w:p w14:paraId="42E1A110" w14:textId="77777777" w:rsidR="000F59F0" w:rsidRDefault="00000000">
      <w:pPr>
        <w:spacing w:before="60" w:after="80"/>
      </w:pPr>
      <w:r>
        <w:rPr>
          <w:b/>
          <w:bCs/>
          <w:color w:val="1A2B5F"/>
        </w:rPr>
        <w:t>Prácticas identificadas como efectivas</w:t>
      </w:r>
    </w:p>
    <w:p w14:paraId="64ECB1B6" w14:textId="6B732C5E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Vincular resultados de monitoreo directamente con la planificación institucional y la asignación presupuestaria. Si los hallazgos no entran en el ciclo de presupuesto, el aprendizaje se queda en fase diagnóstica. (</w:t>
      </w:r>
      <w:r w:rsidR="00A70672">
        <w:t>Marianne Li</w:t>
      </w:r>
      <w:r>
        <w:t>)</w:t>
      </w:r>
    </w:p>
    <w:p w14:paraId="676A7738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El clasificador presupuestario de cambio climático de la República Dominicana —que permite identificar y seguir inversiones de adaptación, mitigación y mixtas directamente en el presupuesto nacional— fue señalado como una herramienta concreta y replicable. (Jennifer Marmolejos)</w:t>
      </w:r>
    </w:p>
    <w:p w14:paraId="7A6C92F4" w14:textId="22E84C76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Hacerse preguntas críticas de decisión antes de diseñar indicadores: ¿para quién es esta información?, ¿cuándo se necesita?, ¿qué puede cambiar a partir de esta evidencia? Esto reconecta el MEL con su propósito. (Pedro </w:t>
      </w:r>
      <w:r w:rsidR="00A70672">
        <w:t>Coss</w:t>
      </w:r>
      <w:r>
        <w:t>)</w:t>
      </w:r>
    </w:p>
    <w:p w14:paraId="324EA542" w14:textId="324496DB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Involucrar desde el principio a los actores clave —incluidos usuarios finales, mujeres, jóvenes, personas envejecientes— para construir medidas más eficientes y sostenibles. El 6.° Informe del IPCC respalda esto con evidencia contundente. (Pedro </w:t>
      </w:r>
      <w:r w:rsidR="00A70672">
        <w:t>Coss</w:t>
      </w:r>
      <w:r>
        <w:t>)</w:t>
      </w:r>
    </w:p>
    <w:p w14:paraId="0E26B051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Crear hojas de ruta de inversión climática que conecten los resultados de los </w:t>
      </w:r>
      <w:proofErr w:type="spellStart"/>
      <w:r>
        <w:t>BTRs</w:t>
      </w:r>
      <w:proofErr w:type="spellEnd"/>
      <w:r>
        <w:t>, los planes de adaptación y los objetivos 2030, para orientar la priorización de recursos escasos hacia brechas concretas. (Jennifer Marmolejos)</w:t>
      </w:r>
    </w:p>
    <w:p w14:paraId="7D46D702" w14:textId="4192F613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Institucionalizar —vía normativa, decreto o ley— los marcos de monitoreo y aprendizaje para garantizar su continuidad más allá de los cambios de gobierno o de equipo técnico. (Pedro C</w:t>
      </w:r>
      <w:r w:rsidR="00A70672">
        <w:t>oss</w:t>
      </w:r>
      <w:r>
        <w:t>)</w:t>
      </w:r>
    </w:p>
    <w:p w14:paraId="21B361C9" w14:textId="77777777" w:rsidR="000F59F0" w:rsidRDefault="000F59F0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58DEEC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2B5F"/>
              <w:left w:val="single" w:sz="14" w:space="0" w:color="1A2B5F"/>
              <w:bottom w:val="single" w:sz="1" w:space="0" w:color="1A2B5F"/>
              <w:right w:val="single" w:sz="1" w:space="0" w:color="1A2B5F"/>
            </w:tcBorders>
            <w:shd w:val="clear" w:color="auto" w:fill="E8EBF5"/>
            <w:tcMar>
              <w:top w:w="160" w:type="dxa"/>
              <w:left w:w="360" w:type="dxa"/>
              <w:bottom w:w="160" w:type="dxa"/>
              <w:right w:w="360" w:type="dxa"/>
            </w:tcMar>
          </w:tcPr>
          <w:p w14:paraId="79BB31CF" w14:textId="77777777" w:rsidR="000F59F0" w:rsidRDefault="00000000">
            <w:pPr>
              <w:spacing w:after="60"/>
            </w:pPr>
            <w:r>
              <w:rPr>
                <w:i/>
                <w:iCs/>
              </w:rPr>
              <w:t>«El MEL no debería medirse por la cantidad de datos que producimos, sino por la calidad de las decisiones que podemos tomar con ellos.»</w:t>
            </w:r>
          </w:p>
          <w:p w14:paraId="1D72D194" w14:textId="55BB0F6B" w:rsidR="000F59F0" w:rsidRDefault="00000000">
            <w:r>
              <w:rPr>
                <w:b/>
                <w:bCs/>
                <w:color w:val="1A2B5F"/>
                <w:sz w:val="18"/>
                <w:szCs w:val="18"/>
              </w:rPr>
              <w:t>— Pedro C</w:t>
            </w:r>
            <w:r w:rsidR="00A70672">
              <w:rPr>
                <w:b/>
                <w:bCs/>
                <w:color w:val="1A2B5F"/>
                <w:sz w:val="18"/>
                <w:szCs w:val="18"/>
              </w:rPr>
              <w:t>os</w:t>
            </w:r>
            <w:r>
              <w:rPr>
                <w:b/>
                <w:bCs/>
                <w:color w:val="1A2B5F"/>
                <w:sz w:val="18"/>
                <w:szCs w:val="18"/>
              </w:rPr>
              <w:t>s</w:t>
            </w:r>
          </w:p>
        </w:tc>
      </w:tr>
    </w:tbl>
    <w:p w14:paraId="7B243DF2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3D3044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AC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38695D62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lastRenderedPageBreak/>
              <w:t>06  IDEAS E INTERVENCIONES DE IMPACTO (Q&amp;A)</w:t>
            </w:r>
          </w:p>
        </w:tc>
      </w:tr>
    </w:tbl>
    <w:p w14:paraId="7FCC6242" w14:textId="77777777" w:rsidR="000F59F0" w:rsidRDefault="000F59F0">
      <w:pPr>
        <w:spacing w:after="100"/>
      </w:pPr>
    </w:p>
    <w:p w14:paraId="5EE26C7F" w14:textId="77777777" w:rsidR="000F59F0" w:rsidRDefault="00000000">
      <w:pPr>
        <w:spacing w:before="60" w:after="80"/>
      </w:pPr>
      <w:r>
        <w:rPr>
          <w:b/>
          <w:bCs/>
          <w:color w:val="00AACC"/>
        </w:rPr>
        <w:t>Comunicación estratégica y habilidades blandas</w:t>
      </w:r>
    </w:p>
    <w:p w14:paraId="2F691AFB" w14:textId="77777777" w:rsidR="000F59F0" w:rsidRDefault="00000000">
      <w:pPr>
        <w:spacing w:before="60" w:after="80"/>
      </w:pPr>
      <w:r>
        <w:rPr>
          <w:i/>
          <w:iCs/>
          <w:color w:val="888888"/>
        </w:rPr>
        <w:t>(Pregunta de Esmeralda Herbasi)</w:t>
      </w:r>
    </w:p>
    <w:p w14:paraId="6E3CD6AA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El dato técnico necesita ser comunicado de forma atractiva y comprensible para influir en la decisión política. La comunicación estratégica es tan importante como la robustez del dato.</w:t>
      </w:r>
    </w:p>
    <w:p w14:paraId="2F041C8A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Las habilidades blandas —escucha, relacionamiento, capacidad de dar y recibir crítica— son tan necesarias como las técnicas para que el MEL genere incidencia real. Muchas instituciones no las incorporan en sus procesos formativos ni de selección de personal.</w:t>
      </w:r>
    </w:p>
    <w:p w14:paraId="4BC79972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 información no debe verse como propiedad de quien la produce: la apertura a la crítica y a la revisión externa es condición del aprendizaje.</w:t>
      </w:r>
    </w:p>
    <w:p w14:paraId="435696E9" w14:textId="77777777" w:rsidR="000F59F0" w:rsidRDefault="000F59F0">
      <w:pPr>
        <w:spacing w:after="80"/>
      </w:pPr>
    </w:p>
    <w:p w14:paraId="6BE84315" w14:textId="77777777" w:rsidR="000F59F0" w:rsidRDefault="00000000">
      <w:pPr>
        <w:spacing w:before="60" w:after="80"/>
      </w:pPr>
      <w:r>
        <w:rPr>
          <w:b/>
          <w:bCs/>
          <w:color w:val="00AACC"/>
        </w:rPr>
        <w:t>¿Pueden los reportes públicos incluir aprendizajes como política práctica?</w:t>
      </w:r>
    </w:p>
    <w:p w14:paraId="48625FAF" w14:textId="77777777" w:rsidR="000F59F0" w:rsidRDefault="00000000">
      <w:pPr>
        <w:spacing w:before="60" w:after="80"/>
      </w:pPr>
      <w:r>
        <w:rPr>
          <w:i/>
          <w:iCs/>
          <w:color w:val="888888"/>
        </w:rPr>
        <w:t xml:space="preserve">(Pregunta de </w:t>
      </w:r>
      <w:proofErr w:type="spellStart"/>
      <w:r>
        <w:rPr>
          <w:i/>
          <w:iCs/>
          <w:color w:val="888888"/>
        </w:rPr>
        <w:t>Yodalis</w:t>
      </w:r>
      <w:proofErr w:type="spellEnd"/>
      <w:r>
        <w:rPr>
          <w:i/>
          <w:iCs/>
          <w:color w:val="888888"/>
        </w:rPr>
        <w:t xml:space="preserve"> Muñoz)</w:t>
      </w:r>
    </w:p>
    <w:p w14:paraId="00FD9B83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Sí: los planes nacionales operativos pueden y deben integrar mecanismos de monitoreo con recomendaciones aplicables. El desafío es que incorporar recomendaciones implica compromisos institucionales formales, lo que genera resistencia al cambio.</w:t>
      </w:r>
    </w:p>
    <w:p w14:paraId="1C43A963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El monitoreo se percibe como fiscalización más que como aprendizaje. Cambiar esa cultura es tan urgente como mejorar los datos.</w:t>
      </w:r>
    </w:p>
    <w:p w14:paraId="6AC608AA" w14:textId="77777777" w:rsidR="000F59F0" w:rsidRDefault="000F59F0">
      <w:pPr>
        <w:spacing w:after="80"/>
      </w:pPr>
    </w:p>
    <w:p w14:paraId="4A4754F6" w14:textId="77777777" w:rsidR="000F59F0" w:rsidRDefault="00000000">
      <w:pPr>
        <w:spacing w:before="60" w:after="80"/>
      </w:pPr>
      <w:r>
        <w:rPr>
          <w:b/>
          <w:bCs/>
          <w:color w:val="00AACC"/>
        </w:rPr>
        <w:t>¿Cómo incorporar la medición climática en los presupuestos?</w:t>
      </w:r>
    </w:p>
    <w:p w14:paraId="2D933284" w14:textId="77777777" w:rsidR="000F59F0" w:rsidRDefault="00000000">
      <w:pPr>
        <w:spacing w:before="60" w:after="80"/>
      </w:pPr>
      <w:r>
        <w:rPr>
          <w:i/>
          <w:iCs/>
          <w:color w:val="888888"/>
        </w:rPr>
        <w:t>(Pregunta de María Cecilia)</w:t>
      </w:r>
    </w:p>
    <w:p w14:paraId="0305C0EE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Cada país debe identificar su metalenguaje presupuestario y construir desde ahí. República Dominicana lo hizo con su clasificador de cambio climático: un proceso de maduración que comenzó analizando modalidades de gasto y terminó en una metodología pública disponible en el Ministerio de Hacienda.</w:t>
      </w:r>
    </w:p>
    <w:p w14:paraId="0EC72F2C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El clasificador presupuestario es un puente concreto entre el dato climático y la decisión financiera.</w:t>
      </w:r>
    </w:p>
    <w:p w14:paraId="0A69741F" w14:textId="77777777" w:rsidR="000F59F0" w:rsidRDefault="000F59F0">
      <w:pPr>
        <w:spacing w:after="80"/>
      </w:pPr>
    </w:p>
    <w:p w14:paraId="0A98782C" w14:textId="77777777" w:rsidR="000F59F0" w:rsidRDefault="00000000">
      <w:pPr>
        <w:spacing w:before="60" w:after="80"/>
      </w:pPr>
      <w:r>
        <w:rPr>
          <w:b/>
          <w:bCs/>
          <w:color w:val="00AACC"/>
        </w:rPr>
        <w:t>¿Cómo garantizar continuidad de los aprendizajes ante cambios de gobierno?</w:t>
      </w:r>
    </w:p>
    <w:p w14:paraId="1646D839" w14:textId="77777777" w:rsidR="000F59F0" w:rsidRDefault="00000000">
      <w:pPr>
        <w:spacing w:before="60" w:after="80"/>
      </w:pPr>
      <w:r>
        <w:rPr>
          <w:i/>
          <w:iCs/>
          <w:color w:val="888888"/>
        </w:rPr>
        <w:t xml:space="preserve">(Pregunta de </w:t>
      </w:r>
      <w:proofErr w:type="spellStart"/>
      <w:r>
        <w:rPr>
          <w:i/>
          <w:iCs/>
          <w:color w:val="888888"/>
        </w:rPr>
        <w:t>Lolivel</w:t>
      </w:r>
      <w:proofErr w:type="spellEnd"/>
      <w:r>
        <w:rPr>
          <w:i/>
          <w:iCs/>
          <w:color w:val="888888"/>
        </w:rPr>
        <w:t xml:space="preserve"> Oliver — única intervención oral de la audiencia)</w:t>
      </w:r>
    </w:p>
    <w:p w14:paraId="36E1CAF0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 respuesta del panel fue unánime: normar. Resoluciones ministeriales, decretos o leyes que establezcan los marcos MEL como obligación institucional —no como práctica discrecional de equipos técnicos.</w:t>
      </w:r>
    </w:p>
    <w:p w14:paraId="0F3336ED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 institucionalización en la planificación y el presupuesto es la única garantía de continuidad frente a rotaciones políticas y técnicas.</w:t>
      </w:r>
    </w:p>
    <w:p w14:paraId="3ACEDE7E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En paralelo, la transformación cultural hacia una sociedad que naturalmente aprende de sus políticas es el horizonte de largo plazo.</w:t>
      </w:r>
    </w:p>
    <w:p w14:paraId="2D3A4AB0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07B487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297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304FFD48" w14:textId="77777777" w:rsidR="000F59F0" w:rsidRDefault="00000000">
            <w:r>
              <w:rPr>
                <w:b/>
                <w:bCs/>
                <w:color w:val="FFFFFF"/>
                <w:sz w:val="25"/>
                <w:szCs w:val="25"/>
              </w:rPr>
              <w:t>07  KEY TAKEAWAYS</w:t>
            </w:r>
          </w:p>
        </w:tc>
      </w:tr>
    </w:tbl>
    <w:p w14:paraId="33C2ED9F" w14:textId="77777777" w:rsidR="000F59F0" w:rsidRDefault="000F59F0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60"/>
      </w:tblGrid>
      <w:tr w:rsidR="000F59F0" w14:paraId="2D7DBC4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822BBF6" w14:textId="77777777" w:rsidR="000F59F0" w:rsidRDefault="00000000">
            <w:pPr>
              <w:jc w:val="center"/>
            </w:pPr>
            <w:r>
              <w:rPr>
                <w:b/>
                <w:bCs/>
                <w:color w:val="AABCF0"/>
                <w:sz w:val="36"/>
                <w:szCs w:val="36"/>
              </w:rPr>
              <w:t>01</w:t>
            </w:r>
          </w:p>
          <w:p w14:paraId="4791A5FB" w14:textId="77777777" w:rsidR="000F59F0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El problema no es técnico, es de incentivos</w:t>
            </w:r>
          </w:p>
          <w:p w14:paraId="39997150" w14:textId="77777777" w:rsidR="000F59F0" w:rsidRDefault="00000000">
            <w:pPr>
              <w:jc w:val="center"/>
            </w:pPr>
            <w:r>
              <w:rPr>
                <w:color w:val="CCDDFF"/>
                <w:sz w:val="17"/>
                <w:szCs w:val="17"/>
              </w:rPr>
              <w:lastRenderedPageBreak/>
              <w:t>Mientras los sistemas premien el reporte y no el aprendizaje, el cambio no ocurrirá sólo con más datos o mejores plataformas.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297C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E9CEFD1" w14:textId="77777777" w:rsidR="000F59F0" w:rsidRDefault="00000000">
            <w:pPr>
              <w:jc w:val="center"/>
            </w:pPr>
            <w:r>
              <w:rPr>
                <w:b/>
                <w:bCs/>
                <w:color w:val="FFAAD8"/>
                <w:sz w:val="36"/>
                <w:szCs w:val="36"/>
              </w:rPr>
              <w:lastRenderedPageBreak/>
              <w:t>02</w:t>
            </w:r>
          </w:p>
          <w:p w14:paraId="75A8F206" w14:textId="77777777" w:rsidR="000F59F0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Las prácticas que funcionan ya existen en la región</w:t>
            </w:r>
          </w:p>
          <w:p w14:paraId="6D59CCDC" w14:textId="77777777" w:rsidR="000F59F0" w:rsidRDefault="00000000">
            <w:pPr>
              <w:jc w:val="center"/>
            </w:pPr>
            <w:r>
              <w:rPr>
                <w:color w:val="FFE0F0"/>
                <w:sz w:val="17"/>
                <w:szCs w:val="17"/>
              </w:rPr>
              <w:lastRenderedPageBreak/>
              <w:t>El clasificador presupuestario climático de RD, la integración MEL-presupuesto y la normativa son ejemplos replicables.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ACC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914F75A" w14:textId="77777777" w:rsidR="000F59F0" w:rsidRDefault="00000000">
            <w:pPr>
              <w:jc w:val="center"/>
            </w:pPr>
            <w:r>
              <w:rPr>
                <w:b/>
                <w:bCs/>
                <w:color w:val="CCF0FF"/>
                <w:sz w:val="36"/>
                <w:szCs w:val="36"/>
              </w:rPr>
              <w:lastRenderedPageBreak/>
              <w:t>03</w:t>
            </w:r>
          </w:p>
          <w:p w14:paraId="24621309" w14:textId="77777777" w:rsidR="000F59F0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Sin institucionalización, no hay continuidad</w:t>
            </w:r>
          </w:p>
          <w:p w14:paraId="618103DA" w14:textId="77777777" w:rsidR="000F59F0" w:rsidRDefault="00000000">
            <w:pPr>
              <w:jc w:val="center"/>
            </w:pPr>
            <w:r>
              <w:rPr>
                <w:color w:val="E0F6FF"/>
                <w:sz w:val="17"/>
                <w:szCs w:val="17"/>
              </w:rPr>
              <w:lastRenderedPageBreak/>
              <w:t>Los aprendizajes que no quedan normados desaparecen con los cambios de gobierno. Normar es proteger el conocimiento acumulado.</w:t>
            </w:r>
          </w:p>
        </w:tc>
      </w:tr>
    </w:tbl>
    <w:p w14:paraId="4BABDF55" w14:textId="77777777" w:rsidR="000F59F0" w:rsidRDefault="000F59F0">
      <w:pPr>
        <w:spacing w:after="120"/>
      </w:pPr>
    </w:p>
    <w:p w14:paraId="1BA391EE" w14:textId="77777777" w:rsidR="000F59F0" w:rsidRDefault="00000000">
      <w:pPr>
        <w:spacing w:before="60" w:after="80"/>
      </w:pPr>
      <w:r>
        <w:rPr>
          <w:b/>
          <w:bCs/>
        </w:rPr>
        <w:t>Mensajes adicionales del cierre del panel:</w:t>
      </w:r>
    </w:p>
    <w:p w14:paraId="6D2206F7" w14:textId="546C575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 xml:space="preserve">«Crear espacios de diálogo como este es ya en sí mismo una práctica MEL: aprendemos de los demás para mejorar lo que hacemos.» </w:t>
      </w:r>
    </w:p>
    <w:p w14:paraId="4D7211B7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 cohesión regional es urgente: los países de ALC comparten desafíos comunes y deben avanzar juntos en hojas de ruta de inversión climática que hablen un lenguaje común con los donantes.</w:t>
      </w:r>
    </w:p>
    <w:p w14:paraId="2C1E672F" w14:textId="77777777" w:rsidR="000F59F0" w:rsidRDefault="00000000">
      <w:pPr>
        <w:pStyle w:val="Prrafodelista"/>
        <w:numPr>
          <w:ilvl w:val="0"/>
          <w:numId w:val="2"/>
        </w:numPr>
        <w:spacing w:before="40" w:after="60"/>
      </w:pPr>
      <w:r>
        <w:t>Las decisiones políticas no son exclusivamente técnicas — pero la calidad del dato y la capacidad de comunicarlo con habilidades blandas es lo que permite que la evidencia entre en la agenda.</w:t>
      </w:r>
    </w:p>
    <w:p w14:paraId="2569376A" w14:textId="77777777" w:rsidR="000F59F0" w:rsidRDefault="000F59F0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F59F0" w14:paraId="770E28D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240" w:type="dxa"/>
              <w:left w:w="400" w:type="dxa"/>
              <w:bottom w:w="240" w:type="dxa"/>
              <w:right w:w="400" w:type="dxa"/>
            </w:tcMar>
          </w:tcPr>
          <w:p w14:paraId="507F9FF8" w14:textId="77777777" w:rsidR="000F59F0" w:rsidRDefault="00000000"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Este documento ha sido preparado por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RedLatamPP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como insumo para la infografía ¿Qué vimos en nuestro evento?</w:t>
            </w:r>
          </w:p>
          <w:p w14:paraId="4B28CB5A" w14:textId="77777777" w:rsidR="000F59F0" w:rsidRDefault="00000000">
            <w:pPr>
              <w:spacing w:before="60"/>
              <w:jc w:val="center"/>
            </w:pPr>
            <w:r>
              <w:rPr>
                <w:color w:val="888888"/>
                <w:sz w:val="17"/>
                <w:szCs w:val="17"/>
              </w:rPr>
              <w:t>Semana de la Evaluación Glocal 2026  ·  Mesa Redonda Virtual  ·  4 de junio, 2026</w:t>
            </w:r>
          </w:p>
        </w:tc>
      </w:tr>
    </w:tbl>
    <w:p w14:paraId="75429913" w14:textId="77777777" w:rsidR="00C03170" w:rsidRDefault="00C03170"/>
    <w:sectPr w:rsidR="00C03170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6331"/>
    <w:multiLevelType w:val="hybridMultilevel"/>
    <w:tmpl w:val="4B462EB8"/>
    <w:lvl w:ilvl="0" w:tplc="B0DA0E76">
      <w:start w:val="1"/>
      <w:numFmt w:val="bullet"/>
      <w:lvlText w:val="●"/>
      <w:lvlJc w:val="left"/>
      <w:pPr>
        <w:ind w:left="720" w:hanging="360"/>
      </w:pPr>
    </w:lvl>
    <w:lvl w:ilvl="1" w:tplc="010468BC">
      <w:start w:val="1"/>
      <w:numFmt w:val="bullet"/>
      <w:lvlText w:val="○"/>
      <w:lvlJc w:val="left"/>
      <w:pPr>
        <w:ind w:left="1440" w:hanging="360"/>
      </w:pPr>
    </w:lvl>
    <w:lvl w:ilvl="2" w:tplc="578E6F62">
      <w:start w:val="1"/>
      <w:numFmt w:val="bullet"/>
      <w:lvlText w:val="■"/>
      <w:lvlJc w:val="left"/>
      <w:pPr>
        <w:ind w:left="2160" w:hanging="360"/>
      </w:pPr>
    </w:lvl>
    <w:lvl w:ilvl="3" w:tplc="5B94913A">
      <w:start w:val="1"/>
      <w:numFmt w:val="bullet"/>
      <w:lvlText w:val="●"/>
      <w:lvlJc w:val="left"/>
      <w:pPr>
        <w:ind w:left="2880" w:hanging="360"/>
      </w:pPr>
    </w:lvl>
    <w:lvl w:ilvl="4" w:tplc="D92AC6F8">
      <w:start w:val="1"/>
      <w:numFmt w:val="bullet"/>
      <w:lvlText w:val="○"/>
      <w:lvlJc w:val="left"/>
      <w:pPr>
        <w:ind w:left="3600" w:hanging="360"/>
      </w:pPr>
    </w:lvl>
    <w:lvl w:ilvl="5" w:tplc="C640F800">
      <w:start w:val="1"/>
      <w:numFmt w:val="bullet"/>
      <w:lvlText w:val="■"/>
      <w:lvlJc w:val="left"/>
      <w:pPr>
        <w:ind w:left="4320" w:hanging="360"/>
      </w:pPr>
    </w:lvl>
    <w:lvl w:ilvl="6" w:tplc="B7D87F60">
      <w:start w:val="1"/>
      <w:numFmt w:val="bullet"/>
      <w:lvlText w:val="●"/>
      <w:lvlJc w:val="left"/>
      <w:pPr>
        <w:ind w:left="5040" w:hanging="360"/>
      </w:pPr>
    </w:lvl>
    <w:lvl w:ilvl="7" w:tplc="08CCF674">
      <w:start w:val="1"/>
      <w:numFmt w:val="bullet"/>
      <w:lvlText w:val="●"/>
      <w:lvlJc w:val="left"/>
      <w:pPr>
        <w:ind w:left="5760" w:hanging="360"/>
      </w:pPr>
    </w:lvl>
    <w:lvl w:ilvl="8" w:tplc="78549F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074383"/>
    <w:multiLevelType w:val="hybridMultilevel"/>
    <w:tmpl w:val="9BAA4BA4"/>
    <w:lvl w:ilvl="0" w:tplc="40F0B196">
      <w:start w:val="1"/>
      <w:numFmt w:val="bullet"/>
      <w:lvlText w:val="–"/>
      <w:lvlJc w:val="left"/>
      <w:pPr>
        <w:ind w:left="480" w:hanging="280"/>
      </w:pPr>
    </w:lvl>
    <w:lvl w:ilvl="1" w:tplc="454262AA">
      <w:numFmt w:val="decimal"/>
      <w:lvlText w:val=""/>
      <w:lvlJc w:val="left"/>
    </w:lvl>
    <w:lvl w:ilvl="2" w:tplc="AE266C8C">
      <w:numFmt w:val="decimal"/>
      <w:lvlText w:val=""/>
      <w:lvlJc w:val="left"/>
    </w:lvl>
    <w:lvl w:ilvl="3" w:tplc="92B227D8">
      <w:numFmt w:val="decimal"/>
      <w:lvlText w:val=""/>
      <w:lvlJc w:val="left"/>
    </w:lvl>
    <w:lvl w:ilvl="4" w:tplc="F74CA202">
      <w:numFmt w:val="decimal"/>
      <w:lvlText w:val=""/>
      <w:lvlJc w:val="left"/>
    </w:lvl>
    <w:lvl w:ilvl="5" w:tplc="B12A2234">
      <w:numFmt w:val="decimal"/>
      <w:lvlText w:val=""/>
      <w:lvlJc w:val="left"/>
    </w:lvl>
    <w:lvl w:ilvl="6" w:tplc="AFEEE270">
      <w:numFmt w:val="decimal"/>
      <w:lvlText w:val=""/>
      <w:lvlJc w:val="left"/>
    </w:lvl>
    <w:lvl w:ilvl="7" w:tplc="802A418E">
      <w:numFmt w:val="decimal"/>
      <w:lvlText w:val=""/>
      <w:lvlJc w:val="left"/>
    </w:lvl>
    <w:lvl w:ilvl="8" w:tplc="57FAA652">
      <w:numFmt w:val="decimal"/>
      <w:lvlText w:val=""/>
      <w:lvlJc w:val="left"/>
    </w:lvl>
  </w:abstractNum>
  <w:num w:numId="1" w16cid:durableId="211160350">
    <w:abstractNumId w:val="0"/>
    <w:lvlOverride w:ilvl="0">
      <w:startOverride w:val="1"/>
    </w:lvlOverride>
  </w:num>
  <w:num w:numId="2" w16cid:durableId="12029840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F0"/>
    <w:rsid w:val="000F59F0"/>
    <w:rsid w:val="00355F54"/>
    <w:rsid w:val="00A70672"/>
    <w:rsid w:val="00A84A16"/>
    <w:rsid w:val="00C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A5897"/>
  <w15:docId w15:val="{D7C55229-8DB0-4404-9B12-06AF71D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1680</Words>
  <Characters>9245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Julianny Minyety Mendez</cp:lastModifiedBy>
  <cp:revision>3</cp:revision>
  <dcterms:created xsi:type="dcterms:W3CDTF">2026-06-05T17:32:00Z</dcterms:created>
  <dcterms:modified xsi:type="dcterms:W3CDTF">2026-06-05T17:45:00Z</dcterms:modified>
</cp:coreProperties>
</file>